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6" w:rsidRDefault="006620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EF6" w:rsidRDefault="00DD6EF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6EF6" w:rsidRDefault="006620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DD6EF6" w:rsidRDefault="00DD6EF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F6" w:rsidRDefault="006620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D6EF6" w:rsidRDefault="006620B6">
      <w:pPr>
        <w:pStyle w:val="ab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Беляевка</w:t>
      </w:r>
    </w:p>
    <w:p w:rsidR="00DD6EF6" w:rsidRDefault="00DD6EF6">
      <w:pPr>
        <w:pStyle w:val="ab"/>
        <w:jc w:val="center"/>
        <w:rPr>
          <w:rFonts w:ascii="Times New Roman" w:hAnsi="Times New Roman" w:cs="Times New Roman"/>
        </w:rPr>
      </w:pPr>
    </w:p>
    <w:p w:rsidR="00DD6EF6" w:rsidRDefault="006620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DD6EF6" w:rsidRDefault="00DD6EF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и дополнений в постановление администрации района от 21.12.2022 № 720-п «Об утверждении муниципальной программы «Стимулирование развития жилищного строительства в Беляевском районе Оренбургской области»</w:t>
      </w:r>
    </w:p>
    <w:p w:rsidR="00DD6EF6" w:rsidRDefault="00DD6EF6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DD6EF6" w:rsidRDefault="006620B6">
      <w:pPr>
        <w:pStyle w:val="ab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179 Бюджетного кодекса РФ, руководствуясь постановлением администрации Беляевского района  от 26.08.2021  № 516-п    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/>
          <w:sz w:val="28"/>
          <w:szCs w:val="28"/>
        </w:rPr>
        <w:t>Приложение к постановлению администрации Беляевского района Оренбургской области от 21.12.2022 № 720-п изложить в новой редакции согласно приложению.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</w:rPr>
        <w:t xml:space="preserve">   исполнением   настоящего  постановления   возложить на заместителя главы администрации по строительству, транспорту, жилищно-коммунальному и дорожному хозяйству Парфенова А.С.</w:t>
      </w:r>
    </w:p>
    <w:p w:rsidR="00DD6EF6" w:rsidRDefault="006620B6">
      <w:pPr>
        <w:pStyle w:val="ab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DD6EF6" w:rsidRDefault="00DD6EF6">
      <w:pPr>
        <w:pStyle w:val="ab"/>
        <w:rPr>
          <w:rFonts w:ascii="Times New Roman" w:hAnsi="Times New Roman" w:cs="Times New Roman"/>
          <w:sz w:val="28"/>
        </w:rPr>
      </w:pPr>
    </w:p>
    <w:p w:rsidR="00DD6EF6" w:rsidRDefault="006620B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4853" cy="1095375"/>
            <wp:effectExtent l="1905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45" cy="109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D6EF6" w:rsidRDefault="006620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Л.М. Бучнева                                                                          </w:t>
      </w:r>
    </w:p>
    <w:p w:rsidR="00DD6EF6" w:rsidRDefault="00DD6E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729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99"/>
        <w:gridCol w:w="7546"/>
        <w:gridCol w:w="7547"/>
      </w:tblGrid>
      <w:tr w:rsidR="00DD6EF6">
        <w:trPr>
          <w:trHeight w:val="80"/>
        </w:trPr>
        <w:tc>
          <w:tcPr>
            <w:tcW w:w="2199" w:type="dxa"/>
          </w:tcPr>
          <w:p w:rsidR="00DD6EF6" w:rsidRDefault="006620B6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46" w:type="dxa"/>
            <w:vAlign w:val="bottom"/>
          </w:tcPr>
          <w:p w:rsidR="00DD6EF6" w:rsidRDefault="006620B6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Парфенову А.С., финансовому отделу, отделу экономического развития, прокурору, в   дело.</w:t>
            </w:r>
          </w:p>
        </w:tc>
        <w:tc>
          <w:tcPr>
            <w:tcW w:w="7547" w:type="dxa"/>
          </w:tcPr>
          <w:p w:rsidR="00DD6EF6" w:rsidRDefault="00DD6EF6">
            <w:pPr>
              <w:widowControl w:val="0"/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EF6" w:rsidRDefault="00DD6EF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</w:t>
      </w: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</w:t>
      </w: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DD6EF6" w:rsidRDefault="00FD338D" w:rsidP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pict>
          <v:shape id="_x0000_s1026" style="position:absolute;left:0;text-align:left;margin-left:0;margin-top:0;width:50pt;height:50pt;z-index:251657728;visibility:hidden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 w:rsidR="006620B6">
        <w:rPr>
          <w:rFonts w:ascii="Times New Roman" w:hAnsi="Times New Roman" w:cs="Times New Roman"/>
          <w:bCs/>
          <w:sz w:val="28"/>
          <w:szCs w:val="28"/>
        </w:rPr>
        <w:t>от  15.06.2023  № 345-п</w:t>
      </w:r>
    </w:p>
    <w:p w:rsidR="00DD6EF6" w:rsidRDefault="00FD338D" w:rsidP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D33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«Приложение</w:t>
      </w: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</w:t>
      </w:r>
    </w:p>
    <w:p w:rsidR="00DD6EF6" w:rsidRDefault="006620B6" w:rsidP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</w:p>
    <w:p w:rsidR="00DD6EF6" w:rsidRDefault="006620B6" w:rsidP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от 21.12.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 № 720-п</w:t>
      </w:r>
    </w:p>
    <w:p w:rsidR="00DD6EF6" w:rsidRDefault="00DD6EF6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EF6" w:rsidRDefault="00DD6EF6">
      <w:pPr>
        <w:spacing w:before="0" w:line="240" w:lineRule="auto"/>
        <w:ind w:firstLine="0"/>
        <w:jc w:val="center"/>
        <w:rPr>
          <w:rFonts w:asciiTheme="minorHAnsi" w:hAnsiTheme="minorHAnsi" w:cs="Times New Roman"/>
          <w:sz w:val="28"/>
          <w:szCs w:val="28"/>
        </w:rPr>
      </w:pPr>
    </w:p>
    <w:p w:rsidR="00DD6EF6" w:rsidRDefault="00DD6EF6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Calibri" w:hAnsi="Calibri" w:cs="Calibri"/>
          <w:sz w:val="28"/>
          <w:szCs w:val="28"/>
        </w:rPr>
      </w:pPr>
    </w:p>
    <w:p w:rsidR="00DD6EF6" w:rsidRDefault="006620B6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ПРОГРАММА</w:t>
      </w:r>
    </w:p>
    <w:p w:rsidR="00DD6EF6" w:rsidRDefault="00DD6EF6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DD6EF6" w:rsidRDefault="006620B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Стимулирование развития жилищного строительства в Беляевском районе Оренбургской области</w:t>
      </w:r>
      <w:r>
        <w:rPr>
          <w:b/>
          <w:bCs/>
          <w:sz w:val="28"/>
          <w:szCs w:val="28"/>
        </w:rPr>
        <w:t>»</w:t>
      </w: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FD338D" w:rsidP="00FD3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inorHAnsi" w:hAnsiTheme="minorHAnsi"/>
        </w:rPr>
        <w:lastRenderedPageBreak/>
        <w:t xml:space="preserve"> </w:t>
      </w:r>
      <w:r w:rsidR="006620B6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Стратегические приоритеты развития муниципальной программы: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Объем жилищного фонда в Беляевском районе Оренбургской области по состоянию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1 января 2023 года составил  413569 кв. метров,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жилых единиц (квартир и индивидуальных жилых домов)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6402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единицы). 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DD6EF6" w:rsidRDefault="006620B6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Составной частью системы градорегулирования муниципального образования Беляевский район является совокупность муниципальных подсистем, основными задачами которых являются: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утверждение документов территориального планирования;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территорий.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момента введения в действие нового Градостроительного кодекса Российской Федерации главным архитектором муниципального образования ведется работа по созданию системы градорегулирования, которая продолжается и в настоящее время.</w:t>
      </w:r>
    </w:p>
    <w:p w:rsidR="00DD6EF6" w:rsidRDefault="006620B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DD6EF6" w:rsidRDefault="006620B6">
      <w:pPr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Беляевском районе. 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Основным инструментом содействия молодым семьям в обеспечении жильем за счет  средств федерального, областного и местных бюджетов является государственная программа «Стимулирование развития жилищного строительства в Оренбургской области»  В 2021 году в рамках муниципальной программы «Стимулирование развития жилищного строительства в Беляевском районе Оренбургской области» оказана государственная поддержка 18 молодым семьям за счет средств федерального, областного, местного бюджета, а в 2022 оказана государственная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7 молодым семьям.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Значительные объемы средств областного бюджета направляются на реализацию мероприятий по обеспечению жильем молодых семей, в том числе на софинансирование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основного мероприятия. 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Программно-целевой метод позволит привлечь для реализации основного мероприятия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мероприятия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DD6EF6" w:rsidRDefault="006620B6">
      <w:pPr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Участницей 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подпрограммы).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Непревышение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  <w:proofErr w:type="gramEnd"/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DD6EF6" w:rsidRDefault="006620B6">
      <w:pPr>
        <w:spacing w:before="0" w:line="240" w:lineRule="auto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9"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DD6EF6" w:rsidRDefault="006620B6">
      <w:pPr>
        <w:spacing w:before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исполнителем подпрограммы 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  <w:proofErr w:type="gramEnd"/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Молодые семьи могут направить социальную выплату на приобретение жилья,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DD6EF6" w:rsidRDefault="006620B6">
      <w:pPr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DD6EF6" w:rsidRDefault="00DD6EF6">
      <w:pPr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6620B6" w:rsidRDefault="006620B6">
      <w:pPr>
        <w:ind w:firstLine="0"/>
        <w:rPr>
          <w:rFonts w:asciiTheme="minorHAnsi" w:hAnsiTheme="minorHAnsi"/>
        </w:rPr>
      </w:pPr>
    </w:p>
    <w:p w:rsidR="006620B6" w:rsidRDefault="006620B6">
      <w:pPr>
        <w:ind w:firstLine="0"/>
        <w:rPr>
          <w:rFonts w:asciiTheme="minorHAnsi" w:hAnsiTheme="minorHAnsi"/>
        </w:rPr>
      </w:pPr>
    </w:p>
    <w:p w:rsidR="00FD338D" w:rsidRDefault="00FD338D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tbl>
      <w:tblPr>
        <w:tblpPr w:leftFromText="180" w:rightFromText="180" w:vertAnchor="page" w:horzAnchor="margin" w:tblpXSpec="center" w:tblpY="4501"/>
        <w:tblW w:w="10718" w:type="dxa"/>
        <w:jc w:val="center"/>
        <w:tblLayout w:type="fixed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466"/>
        <w:gridCol w:w="5252"/>
      </w:tblGrid>
      <w:tr w:rsidR="00DD6EF6">
        <w:trPr>
          <w:trHeight w:val="1148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Беляевский район Оренбургской области</w:t>
            </w:r>
          </w:p>
        </w:tc>
      </w:tr>
      <w:tr w:rsidR="00DD6EF6">
        <w:trPr>
          <w:trHeight w:val="581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F6" w:rsidRDefault="006620B6">
            <w:pPr>
              <w:pStyle w:val="s16"/>
              <w:widowControl w:val="0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2023-2030 г.</w:t>
            </w:r>
          </w:p>
        </w:tc>
      </w:tr>
      <w:tr w:rsidR="00DD6EF6">
        <w:trPr>
          <w:trHeight w:val="827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pStyle w:val="s16"/>
              <w:widowControl w:val="0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доступности и комфортности жилья, качества жилищного обеспечения населения</w:t>
            </w:r>
          </w:p>
        </w:tc>
      </w:tr>
      <w:tr w:rsidR="00DD6EF6">
        <w:trPr>
          <w:trHeight w:val="579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F6" w:rsidRDefault="006620B6">
            <w:pPr>
              <w:pStyle w:val="s16"/>
              <w:widowControl w:val="0"/>
              <w:shd w:val="clear" w:color="auto" w:fill="FFFFFF"/>
              <w:spacing w:before="0" w:beforeAutospacing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DD6EF6">
        <w:trPr>
          <w:trHeight w:val="768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52384,4 тыс. рублей, в том числе по годам реализации: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6047,2 тыс. рублей – 2023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2024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2025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2026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2027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2028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2029 г.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2030 г.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F6">
        <w:trPr>
          <w:trHeight w:val="1338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DD6EF6" w:rsidRDefault="00DD6EF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F6" w:rsidRDefault="006620B6">
            <w:pPr>
              <w:pStyle w:val="s16"/>
              <w:widowControl w:val="0"/>
              <w:shd w:val="clear" w:color="auto" w:fill="FFFFFF"/>
              <w:spacing w:before="0" w:beforeAutospacing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DD6EF6">
        <w:trPr>
          <w:trHeight w:val="856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F6" w:rsidRDefault="006620B6">
            <w:pPr>
              <w:widowControl w:val="0"/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иными государственными программами Оренбургской области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F6" w:rsidRDefault="006620B6">
            <w:pPr>
              <w:widowControl w:val="0"/>
              <w:spacing w:line="259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6EF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«Стимулирование развития жилищного</w:t>
      </w:r>
    </w:p>
    <w:p w:rsidR="00DD6EF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строительства в Беляевском районе Оренбургской области »</w:t>
      </w:r>
    </w:p>
    <w:p w:rsidR="006620B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0B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0B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0B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0B6" w:rsidRDefault="006620B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  <w:sectPr w:rsidR="006620B6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DD6EF6" w:rsidRDefault="006620B6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DD6EF6" w:rsidRDefault="006620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15475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851"/>
        <w:gridCol w:w="830"/>
        <w:gridCol w:w="871"/>
        <w:gridCol w:w="709"/>
        <w:gridCol w:w="709"/>
        <w:gridCol w:w="851"/>
        <w:gridCol w:w="849"/>
        <w:gridCol w:w="709"/>
        <w:gridCol w:w="709"/>
        <w:gridCol w:w="710"/>
        <w:gridCol w:w="707"/>
        <w:gridCol w:w="1277"/>
        <w:gridCol w:w="1133"/>
        <w:gridCol w:w="992"/>
        <w:gridCol w:w="1017"/>
      </w:tblGrid>
      <w:tr w:rsidR="00DD6EF6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                 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Единица измерения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Базовое значение</w:t>
            </w:r>
          </w:p>
        </w:tc>
        <w:tc>
          <w:tcPr>
            <w:tcW w:w="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Значения показателей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Информационная система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Связь с комплексной программой</w:t>
            </w:r>
          </w:p>
        </w:tc>
      </w:tr>
      <w:tr w:rsidR="00DD6EF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2030 год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Ввод жилья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кв.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метров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Соглашение № 375-С от 15.07.2019 (ДС № 6 от 23.03.</w:t>
            </w:r>
            <w:proofErr w:type="gramEnd"/>
          </w:p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2023)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архитектуры 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Общая площадь жилых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приходящаяся в среднем на 1 жителя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кв.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метров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29,6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архитектуры 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кв. метров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архитектуры 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Протяженность автомобильных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архитектуры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1,193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архитектуры 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15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 жильем молодых семей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Количество молодых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семей, получивших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свидетельство о праве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на получение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социальной выплаты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Соглашение № 53610000-1-2023-005 от 21.01.2023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Ведущий специалист по жилищным вопросам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Единый портал бюджетной системы Российской Федерации «Электронный бюджет»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  <w:tr w:rsidR="00DD6EF6">
        <w:tc>
          <w:tcPr>
            <w:tcW w:w="15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Развитие системы градорегулирования в Беляевском районе Оренбургской области</w:t>
            </w:r>
          </w:p>
        </w:tc>
      </w:tr>
      <w:tr w:rsidR="00DD6E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 документации для внесения сведений о границах муниципальных образований, границах населенных пунктов, границах территориальных зон и зон с особыми условиями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Договор на оказание услуг № 3-5649-Д/002 от 24.01.2023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архитектуры строительства и ЖКХ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softHyphen/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</w:p>
        </w:tc>
      </w:tr>
    </w:tbl>
    <w:p w:rsidR="00DD6EF6" w:rsidRDefault="00DD6EF6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6620B6">
      <w:pPr>
        <w:ind w:left="273" w:right="4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муниципальной программы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061"/>
        <w:gridCol w:w="1969"/>
        <w:gridCol w:w="3513"/>
        <w:gridCol w:w="3536"/>
      </w:tblGrid>
      <w:tr w:rsidR="00DD6EF6">
        <w:trPr>
          <w:trHeight w:val="20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Связь с показателями</w:t>
            </w:r>
          </w:p>
        </w:tc>
      </w:tr>
      <w:tr w:rsidR="00DD6EF6">
        <w:trPr>
          <w:trHeight w:val="10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D6EF6">
        <w:trPr>
          <w:trHeight w:val="10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«Обеспечение жильем молодых семей» </w:t>
            </w:r>
          </w:p>
        </w:tc>
      </w:tr>
      <w:tr w:rsidR="00DD6EF6">
        <w:trPr>
          <w:trHeight w:val="21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 реализацию: Отдел архитектуры строительства и ЖКХ</w:t>
            </w:r>
          </w:p>
        </w:tc>
        <w:tc>
          <w:tcPr>
            <w:tcW w:w="7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реализации 2023-2030</w:t>
            </w:r>
          </w:p>
        </w:tc>
      </w:tr>
      <w:tr w:rsidR="00DD6EF6">
        <w:trPr>
          <w:trHeight w:val="160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позволит улучшить жилищные условия  молодым семьям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Укрепление института семьи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</w:tr>
      <w:tr w:rsidR="00DD6EF6">
        <w:trPr>
          <w:trHeight w:val="56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«Развитие системы градорегулирования в Беляевском районе Оренбургской области»</w:t>
            </w:r>
          </w:p>
        </w:tc>
      </w:tr>
      <w:tr w:rsidR="00DD6EF6">
        <w:trPr>
          <w:trHeight w:val="66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 реализацию: Отдел архитектуры строительства и ЖКХ</w:t>
            </w:r>
          </w:p>
        </w:tc>
        <w:tc>
          <w:tcPr>
            <w:tcW w:w="7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реализации 2023</w:t>
            </w:r>
          </w:p>
        </w:tc>
      </w:tr>
      <w:tr w:rsidR="00DD6EF6">
        <w:trPr>
          <w:trHeight w:val="66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Единый государственный реестр недвижимости сведений о границе муниципального образования Беляевский район Оренбургской области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градорегулирования в Беляевском районе Оренбургской области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Внесение сведений о границах муниципальных образований, границах населенных пунктов, границах территориальных зон и зон с особыми условиями</w:t>
            </w:r>
          </w:p>
        </w:tc>
      </w:tr>
    </w:tbl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DD6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ind w:left="273" w:right="4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796"/>
        <w:gridCol w:w="2268"/>
        <w:gridCol w:w="1350"/>
        <w:gridCol w:w="1171"/>
        <w:gridCol w:w="1010"/>
        <w:gridCol w:w="1009"/>
        <w:gridCol w:w="1010"/>
        <w:gridCol w:w="1011"/>
        <w:gridCol w:w="1009"/>
        <w:gridCol w:w="1010"/>
        <w:gridCol w:w="1011"/>
        <w:gridCol w:w="1009"/>
        <w:gridCol w:w="1024"/>
      </w:tblGrid>
      <w:tr w:rsidR="00DD6EF6">
        <w:trPr>
          <w:trHeight w:val="2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N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</w:rPr>
              <w:t>Характеристика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Единица измерения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Базовое значение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DD6EF6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2023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2024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2025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2026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2027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2028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2029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2030 год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DD6EF6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</w:t>
            </w:r>
          </w:p>
        </w:tc>
      </w:tr>
      <w:tr w:rsidR="00DD6EF6">
        <w:trPr>
          <w:jc w:val="center"/>
        </w:trPr>
        <w:tc>
          <w:tcPr>
            <w:tcW w:w="15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D6EF6">
        <w:trPr>
          <w:jc w:val="center"/>
        </w:trPr>
        <w:tc>
          <w:tcPr>
            <w:tcW w:w="15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Обеспечение жильем молодых семей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D6EF6">
        <w:trPr>
          <w:trHeight w:val="129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DD6EF6">
        <w:trPr>
          <w:trHeight w:val="354"/>
          <w:jc w:val="center"/>
        </w:trPr>
        <w:tc>
          <w:tcPr>
            <w:tcW w:w="161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«Развитие системы градорегулирования в Беляевском районе Оренбургской области»</w:t>
            </w:r>
          </w:p>
        </w:tc>
      </w:tr>
      <w:tr w:rsidR="00DD6EF6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системы градорегулирования в Беляевском районе Оренбургской области</w:t>
            </w:r>
          </w:p>
        </w:tc>
      </w:tr>
      <w:tr w:rsidR="00DD6EF6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Подготовка документации для внесения сведений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 границах муниципальных образований, границах населенных пунктов, границах территориальных зон и зон с особыми условиями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Внесение сведений о границах муниципальных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образований, границах населенных пунктов, границах территориальных зон и зон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условиям в </w:t>
            </w:r>
            <w:r>
              <w:rPr>
                <w:rFonts w:ascii="Times New Roman" w:hAnsi="Times New Roman" w:cs="Times New Roman"/>
              </w:rPr>
              <w:t xml:space="preserve"> Единый государственный реестр недвижимости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lastRenderedPageBreak/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6620B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DD6EF6">
      <w:pPr>
        <w:ind w:firstLine="0"/>
        <w:rPr>
          <w:rFonts w:ascii="Times New Roman" w:hAnsi="Times New Roman"/>
          <w:b/>
        </w:rPr>
      </w:pPr>
    </w:p>
    <w:p w:rsidR="00DD6EF6" w:rsidRDefault="006620B6">
      <w:pPr>
        <w:pStyle w:val="a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Финансовое обеспечение муниципальной программы Беляевского района Оренбургской области</w:t>
      </w:r>
    </w:p>
    <w:p w:rsidR="00DD6EF6" w:rsidRDefault="00DD6EF6">
      <w:pPr>
        <w:pStyle w:val="a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892"/>
        <w:gridCol w:w="1768"/>
        <w:gridCol w:w="560"/>
        <w:gridCol w:w="1054"/>
        <w:gridCol w:w="522"/>
        <w:gridCol w:w="525"/>
        <w:gridCol w:w="522"/>
        <w:gridCol w:w="523"/>
        <w:gridCol w:w="522"/>
        <w:gridCol w:w="524"/>
        <w:gridCol w:w="523"/>
        <w:gridCol w:w="523"/>
        <w:gridCol w:w="592"/>
        <w:gridCol w:w="1113"/>
      </w:tblGrid>
      <w:tr w:rsidR="00DD6EF6">
        <w:trPr>
          <w:trHeight w:val="43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программы, направления (подпрограммы),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структурного элемента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Главный распорядитель бюджетных средств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(ответственный исполнитель,</w:t>
            </w:r>
            <w:proofErr w:type="gramEnd"/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соисполнитель, участник)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бюджетной</w:t>
            </w:r>
            <w:proofErr w:type="gramEnd"/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квалификации</w:t>
            </w:r>
          </w:p>
        </w:tc>
        <w:tc>
          <w:tcPr>
            <w:tcW w:w="4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Связь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комплексной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программой</w:t>
            </w:r>
          </w:p>
        </w:tc>
      </w:tr>
      <w:tr w:rsidR="00DD6EF6">
        <w:trPr>
          <w:cantSplit/>
          <w:trHeight w:val="153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rPr>
          <w:cantSplit/>
          <w:trHeight w:val="2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D6EF6">
        <w:trPr>
          <w:cantSplit/>
          <w:trHeight w:val="165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«Стимулирование развития жилищного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строительства в Беляевском районе Оренбургской области»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23 0 00 00000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bookmarkStart w:id="0" w:name="_GoBack"/>
        <w:bookmarkEnd w:id="0"/>
      </w:tr>
      <w:tr w:rsidR="00DD6EF6">
        <w:trPr>
          <w:cantSplit/>
          <w:trHeight w:val="166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23 0 00 00000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67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23 4 00 00000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rPr>
          <w:cantSplit/>
          <w:trHeight w:val="1647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23 4 00 00000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rPr>
          <w:cantSplit/>
          <w:trHeight w:val="226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«Обеспечение жильем молодых семей»</w:t>
            </w:r>
          </w:p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23 4 01 00000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5989,2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EF6" w:rsidRDefault="006620B6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65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23 4 01 00000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5989,2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79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.1.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5989,2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807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5989,2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</w:t>
            </w:r>
          </w:p>
        </w:tc>
      </w:tr>
      <w:tr w:rsidR="00DD6EF6">
        <w:trPr>
          <w:cantSplit/>
          <w:trHeight w:val="166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«Развитие системы градорегулирования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Беляевском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Оренбургской области»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23 4 02 00000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672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23 4 02 00000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67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документации для внесения сведений о границах муниципальных образований,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населенных пунктов, границах территориальных зон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зон с особыми условиями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23 4 02 91541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672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538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23 4 02 91541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D6EF6" w:rsidRDefault="006620B6">
            <w:pPr>
              <w:widowControl w:val="0"/>
              <w:ind w:left="-651" w:right="113" w:firstLine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DD6EF6" w:rsidRDefault="00DD6EF6">
      <w:pPr>
        <w:ind w:firstLine="0"/>
        <w:rPr>
          <w:rFonts w:asciiTheme="minorHAnsi" w:hAnsiTheme="minorHAnsi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5.1.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DD6EF6">
      <w:pPr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D6EF6" w:rsidRDefault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Финансовое обеспечение муниципальной программы Беляевского района Оренбургской области за счет средств районного бюджета и прогнозная оценка привлекаемых средств </w:t>
      </w:r>
    </w:p>
    <w:p w:rsidR="00DD6EF6" w:rsidRDefault="006620B6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на реализацию муниципальной программы</w:t>
      </w:r>
    </w:p>
    <w:p w:rsidR="00DD6EF6" w:rsidRDefault="00DD6EF6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22272F"/>
        </w:rPr>
      </w:pPr>
    </w:p>
    <w:tbl>
      <w:tblPr>
        <w:tblW w:w="15915" w:type="dxa"/>
        <w:tblInd w:w="-5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184"/>
        <w:gridCol w:w="2976"/>
        <w:gridCol w:w="592"/>
        <w:gridCol w:w="567"/>
        <w:gridCol w:w="566"/>
        <w:gridCol w:w="425"/>
        <w:gridCol w:w="425"/>
        <w:gridCol w:w="568"/>
        <w:gridCol w:w="567"/>
        <w:gridCol w:w="426"/>
        <w:gridCol w:w="567"/>
        <w:gridCol w:w="3542"/>
      </w:tblGrid>
      <w:tr w:rsidR="00DD6EF6">
        <w:trPr>
          <w:trHeight w:val="24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4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Связь с комплексной программой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rPr>
          <w:cantSplit/>
          <w:trHeight w:val="2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«Стимулирование развития жилищного строительства в Беляевском районе Оренбургской области»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52384,40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10187,52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23471,48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2070,50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18725,4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36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DD6EF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23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6047,2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52384,40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23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10187,52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369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23471,48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2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2070,50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18725,4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36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DD6EF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13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«Обеспечение жильем молодых семей»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52326,40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1021,20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1322,06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10187,52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23471,48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18667,40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44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DD6EF6">
        <w:trPr>
          <w:cantSplit/>
          <w:trHeight w:val="113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системы градорегулирования</w:t>
            </w:r>
          </w:p>
          <w:p w:rsidR="00DD6EF6" w:rsidRDefault="006620B6">
            <w:pPr>
              <w:widowControl w:val="0"/>
              <w:spacing w:before="0" w:line="240" w:lineRule="auto"/>
              <w:ind w:left="-651" w:firstLine="6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Беляевском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Оренбургской области»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6EF6">
        <w:trPr>
          <w:cantSplit/>
          <w:trHeight w:val="32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DD6EF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6EF6" w:rsidRDefault="006620B6">
            <w:pPr>
              <w:widowControl w:val="0"/>
              <w:spacing w:before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D6EF6" w:rsidRDefault="006620B6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6620B6">
      <w:pPr>
        <w:pStyle w:val="ad"/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методике расчета показателей (результатов) муниципальной программы  Беляевского района Оренбургской области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878"/>
        <w:gridCol w:w="1277"/>
        <w:gridCol w:w="2268"/>
        <w:gridCol w:w="2551"/>
        <w:gridCol w:w="1701"/>
        <w:gridCol w:w="1985"/>
        <w:gridCol w:w="1558"/>
        <w:gridCol w:w="1416"/>
      </w:tblGrid>
      <w:tr w:rsidR="00DD6EF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 (результат)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Алгоритм формирования (формула) и методологические пояснения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 сбора информации, индекс формы 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данных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представления годовой отчетной информации</w:t>
            </w:r>
          </w:p>
        </w:tc>
      </w:tr>
      <w:tr w:rsidR="00DD6EF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</w:tr>
      <w:tr w:rsidR="00DD6EF6">
        <w:trPr>
          <w:trHeight w:val="279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Ввод жилья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квадратными метрами общей площади жилых помещений введенных в эксплуатацию за  один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министерство строительства, жилищно-коммунального, дорожного хозяйства и транспорта, статистический отчет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по форме 1-разрешение, ИЖС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Росреестр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DD6EF6">
        <w:trPr>
          <w:trHeight w:val="18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Общая площадь жилых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приходящаяся в среднем на 1 жителя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D6EF6" w:rsidRDefault="00DD6EF6">
            <w:pPr>
              <w:widowControl w:val="0"/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А–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общая площадь жилых помещений (всего)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Б–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 района на конец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отчетным</w:t>
            </w:r>
            <w:proofErr w:type="gramEnd"/>
          </w:p>
        </w:tc>
      </w:tr>
      <w:tr w:rsidR="00DD6EF6">
        <w:trPr>
          <w:trHeight w:val="32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D6EF6" w:rsidRDefault="00DD6EF6">
            <w:pPr>
              <w:widowControl w:val="0"/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А–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общая площадь жилых помещений введенная в действие за один год.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Б–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 района на конец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отчетным</w:t>
            </w:r>
            <w:proofErr w:type="gramEnd"/>
          </w:p>
        </w:tc>
      </w:tr>
      <w:tr w:rsidR="00DD6EF6">
        <w:trPr>
          <w:trHeight w:val="5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протяженностью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З-ДГ (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</w:rPr>
              <w:t>Оренбургстат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Оренбургстат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 позднее 15 февраля следующего за отчетным годом</w:t>
            </w:r>
          </w:p>
        </w:tc>
      </w:tr>
      <w:tr w:rsidR="00DD6EF6">
        <w:trPr>
          <w:trHeight w:val="307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определяется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количеством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министерство строительства, жилищно-коммунального, дорожного хозяйства и транспорта </w:t>
            </w:r>
            <w:proofErr w:type="gramStart"/>
            <w:r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соглашению.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позднее 15 января соответствующего года, следующего за годом, в котором была получена Субсидия</w:t>
            </w:r>
          </w:p>
        </w:tc>
      </w:tr>
      <w:tr w:rsidR="00DD6EF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 к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оличеством молодых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в департамент молодежной политики Оренбургской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соглашению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Ведущий специалист по жилищным вопросам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Беляевского района о районном бюджете, на отчетный финансовый год, с учетом изменений, внесенных в течение отчетного года.</w:t>
            </w:r>
          </w:p>
          <w:p w:rsidR="00DD6EF6" w:rsidRDefault="00DD6EF6">
            <w:pPr>
              <w:widowControl w:val="0"/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позднее 10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февраля,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следующего за отчетным годом</w:t>
            </w:r>
          </w:p>
        </w:tc>
      </w:tr>
      <w:tr w:rsidR="00DD6EF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Подготовка документации для внесения сведений о границах муниципальных образований, границах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населенных пунктов, границах территориальных зон и зон с особыми условиями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Значением данного показателя является подготовка документов, необходимых для внесения в Единый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реестр недвижимости сведений о границе муниципального образования Беляевский район Оренбургской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оказание услуг № 23-5649-Д/0002 от 24.01.2023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D6EF6" w:rsidRDefault="00DD6EF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DD6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“Стимулирование развития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Беляевском районе</w:t>
      </w:r>
    </w:p>
    <w:p w:rsidR="00DD6EF6" w:rsidRDefault="006620B6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области”</w:t>
      </w:r>
    </w:p>
    <w:p w:rsidR="00DD6EF6" w:rsidRDefault="00DD6EF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EF6" w:rsidRDefault="006620B6">
      <w:pPr>
        <w:pStyle w:val="ad"/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муниципальной программы Беляевского района Оренбургской области на 2023 год</w:t>
      </w:r>
    </w:p>
    <w:tbl>
      <w:tblPr>
        <w:tblW w:w="15735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215"/>
        <w:gridCol w:w="2409"/>
        <w:gridCol w:w="2835"/>
      </w:tblGrid>
      <w:tr w:rsidR="00DD6EF6">
        <w:trPr>
          <w:trHeight w:val="2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(Ф.И.О., должность, наименование ОИВ)</w:t>
            </w:r>
          </w:p>
        </w:tc>
      </w:tr>
      <w:tr w:rsidR="00DD6EF6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D6EF6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«Стимулирование развития жилищного строительства в Беляевском районе Оренбургской области»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Наименование задачи: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(результат): 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  <w:t>Контрольная точка мероприятия: Ежегодный отчет о достижении результатов использования Субсидии.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января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Пархоменко Т.А.- ведущий специалист по жилищным вопросам.</w:t>
            </w:r>
          </w:p>
        </w:tc>
      </w:tr>
      <w:tr w:rsidR="00DD6E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  <w:t>Комплекс процессных мероприятий «Развитие системы градорегулирования  в Беляевском районе Оренбургской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  <w:t>Наименование задачи: «Развитие системы градорегулирования  в Беляевском районе Оренбургской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(результат): Подготовка документации для внесения сведений о границах муниципальных образований, границах населенных пунктов, границах территориальных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зон и зон с особыми условиями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DD6EF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E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точка мероприятия: Оказание услуги по подготовке документов, необходимых для внесения в Единый государственный реестр недвижимости сведений о границе муниципального образования Беляевский район Оренбургской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40 рабочих дней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договора на оказание услуг в соответствии с техническим заданием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EF6" w:rsidRDefault="006620B6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ЖКХ»</w:t>
            </w:r>
          </w:p>
        </w:tc>
      </w:tr>
    </w:tbl>
    <w:p w:rsidR="00DD6EF6" w:rsidRDefault="00DD6EF6">
      <w:pPr>
        <w:rPr>
          <w:rFonts w:asciiTheme="minorHAnsi" w:hAnsiTheme="minorHAnsi"/>
        </w:rPr>
      </w:pPr>
    </w:p>
    <w:sectPr w:rsidR="00DD6EF6" w:rsidSect="00DD6EF6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D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6EF6"/>
    <w:rsid w:val="006620B6"/>
    <w:rsid w:val="00DD6EF6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A"/>
    <w:pPr>
      <w:spacing w:before="120" w:line="360" w:lineRule="auto"/>
      <w:ind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2C6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сноски Знак"/>
    <w:basedOn w:val="a0"/>
    <w:uiPriority w:val="99"/>
    <w:qFormat/>
    <w:rsid w:val="00B263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B2632C"/>
    <w:rPr>
      <w:vertAlign w:val="superscript"/>
    </w:rPr>
  </w:style>
  <w:style w:type="character" w:customStyle="1" w:styleId="FootnoteAnchor">
    <w:name w:val="Footnote Anchor"/>
    <w:rsid w:val="00DD6EF6"/>
    <w:rPr>
      <w:vertAlign w:val="superscript"/>
    </w:rPr>
  </w:style>
  <w:style w:type="character" w:customStyle="1" w:styleId="a5">
    <w:name w:val="Гипертекстовая ссылка"/>
    <w:uiPriority w:val="99"/>
    <w:qFormat/>
    <w:rsid w:val="00B004FB"/>
    <w:rPr>
      <w:rFonts w:cs="Times New Roman"/>
      <w:b/>
      <w:bCs/>
      <w:color w:val="auto"/>
    </w:rPr>
  </w:style>
  <w:style w:type="character" w:customStyle="1" w:styleId="a6">
    <w:name w:val="Без интервала Знак"/>
    <w:basedOn w:val="a0"/>
    <w:qFormat/>
    <w:locked/>
    <w:rsid w:val="005601AB"/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uiPriority w:val="99"/>
    <w:semiHidden/>
    <w:qFormat/>
    <w:rsid w:val="004D2633"/>
    <w:rPr>
      <w:rFonts w:ascii="TimesDL" w:eastAsia="Calibri" w:hAnsi="TimesDL" w:cs="TimesD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rsid w:val="004D2633"/>
    <w:rPr>
      <w:rFonts w:ascii="TimesDL" w:eastAsia="Calibri" w:hAnsi="TimesDL" w:cs="TimesDL"/>
      <w:sz w:val="24"/>
      <w:szCs w:val="24"/>
      <w:lang w:eastAsia="ru-RU"/>
    </w:rPr>
  </w:style>
  <w:style w:type="character" w:customStyle="1" w:styleId="1">
    <w:name w:val="Гиперссылка1"/>
    <w:rsid w:val="00B20FF3"/>
    <w:rPr>
      <w:color w:val="000080"/>
      <w:u w:val="single"/>
    </w:rPr>
  </w:style>
  <w:style w:type="paragraph" w:customStyle="1" w:styleId="Heading">
    <w:name w:val="Heading"/>
    <w:basedOn w:val="a"/>
    <w:next w:val="a9"/>
    <w:qFormat/>
    <w:rsid w:val="00DD6EF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DD6EF6"/>
    <w:pPr>
      <w:spacing w:before="0" w:after="140" w:line="276" w:lineRule="auto"/>
    </w:pPr>
  </w:style>
  <w:style w:type="paragraph" w:styleId="aa">
    <w:name w:val="List"/>
    <w:basedOn w:val="a9"/>
    <w:rsid w:val="00DD6EF6"/>
    <w:rPr>
      <w:rFonts w:cs="Nirmala UI"/>
    </w:rPr>
  </w:style>
  <w:style w:type="paragraph" w:customStyle="1" w:styleId="10">
    <w:name w:val="Название объекта1"/>
    <w:basedOn w:val="a"/>
    <w:qFormat/>
    <w:rsid w:val="00DD6EF6"/>
    <w:pPr>
      <w:suppressLineNumbers/>
      <w:spacing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DD6EF6"/>
    <w:pPr>
      <w:suppressLineNumbers/>
    </w:pPr>
    <w:rPr>
      <w:rFonts w:cs="Nirmala UI"/>
    </w:rPr>
  </w:style>
  <w:style w:type="paragraph" w:styleId="ab">
    <w:name w:val="No Spacing"/>
    <w:uiPriority w:val="99"/>
    <w:qFormat/>
    <w:rsid w:val="00E82C6A"/>
    <w:rPr>
      <w:rFonts w:cs="Calibri"/>
    </w:rPr>
  </w:style>
  <w:style w:type="paragraph" w:styleId="ac">
    <w:name w:val="Balloon Text"/>
    <w:basedOn w:val="a"/>
    <w:uiPriority w:val="99"/>
    <w:semiHidden/>
    <w:unhideWhenUsed/>
    <w:qFormat/>
    <w:rsid w:val="00E82C6A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2632C"/>
    <w:pPr>
      <w:spacing w:before="0"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qFormat/>
    <w:rsid w:val="00B2632C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Текст сноски1"/>
    <w:basedOn w:val="a"/>
    <w:uiPriority w:val="99"/>
    <w:unhideWhenUsed/>
    <w:rsid w:val="00B2632C"/>
    <w:pPr>
      <w:spacing w:before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sPlusNormal">
    <w:name w:val="ConsPlusNormal"/>
    <w:qFormat/>
    <w:rsid w:val="00495C5D"/>
    <w:pPr>
      <w:widowControl w:val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DD6EF6"/>
  </w:style>
  <w:style w:type="paragraph" w:customStyle="1" w:styleId="12">
    <w:name w:val="Верхний колонтитул1"/>
    <w:basedOn w:val="a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FC7B267B6D541A9F54352EAAED36D6B9C481A7E990B03BCC5930316378F284D08DBA20D837BBD166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0EBF-68A4-4F5C-940B-42F9DFF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4164</Words>
  <Characters>23740</Characters>
  <Application>Microsoft Office Word</Application>
  <DocSecurity>0</DocSecurity>
  <Lines>197</Lines>
  <Paragraphs>55</Paragraphs>
  <ScaleCrop>false</ScaleCrop>
  <Company>Microsoft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2023-05-31T10:00:00Z</cp:lastPrinted>
  <dcterms:created xsi:type="dcterms:W3CDTF">2023-06-15T07:35:00Z</dcterms:created>
  <dcterms:modified xsi:type="dcterms:W3CDTF">2023-06-26T05:16:00Z</dcterms:modified>
  <dc:language>ru-RU</dc:language>
</cp:coreProperties>
</file>